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2578894" cy="17192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8894" cy="1719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Ria Strasser-Galvis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Head of Foreign Policy Partnerships, International Government Affairs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Google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Ria is Google’s Head of Foreign Policy Partnerships in Washington DC. She leads Google’s relationships with US government, diplomats, think tanks and organizations working on international tech policy. In her 7 years at the company, she has also served as Google’s Europe and Emerging Markets Lead. Previously, she advised the Senate Banking &amp; Appropriations committees on international affairs &amp; trade while at the U.S. Government Accountability Office (GAO). She worked at the political risk firm, Frontier Strategy Group and at State Department on the Colombia Desk. Ria is a board member of the World Bank’s Digital Development Partnership, is a Corporate Leader on the Council on Foreign Relations and is on Meridian’s Corporate Council. Ria is a double Hoya - She earned her bachelors and masters at Georgetown’s School of Foreign Service. Ria speaks Spanish and Italian and is attempting to learn German. 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